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работе с обращениями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запросами информации граждан и организаций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Управлении Федерального казначейства по Свердловской области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</w:t>
      </w:r>
      <w:r>
        <w:t xml:space="preserve"> </w:t>
      </w:r>
      <w:r>
        <w:rPr>
          <w:b/>
          <w:sz w:val="28"/>
          <w:szCs w:val="28"/>
        </w:rPr>
        <w:t xml:space="preserve">1 квартал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202</w:t>
      </w:r>
      <w:r>
        <w:rPr>
          <w:b/>
          <w:sz w:val="28"/>
          <w:szCs w:val="28"/>
        </w:rPr>
        <w:t xml:space="preserve">6</w:t>
      </w:r>
      <w:r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Управлении Федерального казначейства по Свердловской области (далее – Управление) работа с обращениями граждан и организаций (далее – обращения)  проводится в соответствии с Федеральным законом от 02.05.2</w:t>
      </w:r>
      <w:r>
        <w:rPr>
          <w:rFonts w:ascii="Times New Roman" w:hAnsi="Times New Roman" w:cs="Times New Roman"/>
          <w:sz w:val="28"/>
          <w:szCs w:val="28"/>
        </w:rPr>
        <w:t xml:space="preserve">006 № 59-ФЗ «О порядке рассмотрения обращений граждан Российской Федерации». В полном объеме обеспечено исполнение Указа Президента Российской Федерации от 17.04.2017 № 171 «О мониторинге и анализе результатов рассмотрения обращений граждан и организаций».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совершенство</w:t>
      </w:r>
      <w:r>
        <w:rPr>
          <w:rFonts w:ascii="Times New Roman" w:hAnsi="Times New Roman" w:cs="Times New Roman"/>
          <w:sz w:val="28"/>
          <w:szCs w:val="28"/>
        </w:rPr>
        <w:t xml:space="preserve">вания организации работы с обращениями используются различные формы и методы работы. Контроль исполнения обращений осуществляется ежедневно, информация об исполненных обращениях, находящихся на контроле, представляется руководителю Управления еженедельно.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а 1 квартал 2026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поступило </w:t>
      </w:r>
      <w:r>
        <w:rPr>
          <w:sz w:val="28"/>
          <w:szCs w:val="28"/>
        </w:rPr>
        <w:t xml:space="preserve">144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, из них </w:t>
      </w:r>
      <w:r>
        <w:rPr>
          <w:sz w:val="28"/>
          <w:szCs w:val="28"/>
        </w:rPr>
        <w:t xml:space="preserve">134 обращения граждан (93%) и 10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юридических лиц (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%). Обращения поступают в Управление в письменной форме (почтой России, нарочно, фельдъегерской службой, курьером) и в форме электронного документа по системе межведомственного электронного документооборота, посредством ППО АСД «</w:t>
      </w:r>
      <w:r>
        <w:rPr>
          <w:sz w:val="28"/>
          <w:szCs w:val="28"/>
        </w:rPr>
        <w:t xml:space="preserve">LanDocs</w:t>
      </w:r>
      <w:r>
        <w:rPr>
          <w:sz w:val="28"/>
          <w:szCs w:val="28"/>
        </w:rPr>
        <w:t xml:space="preserve">», посредством платформы обратной связи, реализованной на базе федеральной государственной информационной системы «Единый портал государственных и муниципальных услуг (функций)». </w:t>
      </w:r>
      <w:r>
        <w:rPr>
          <w:sz w:val="28"/>
          <w:szCs w:val="28"/>
        </w:rPr>
        <w:t xml:space="preserve">За 1 квартал 2026 года </w:t>
      </w:r>
      <w:r>
        <w:rPr>
          <w:sz w:val="28"/>
          <w:szCs w:val="28"/>
        </w:rPr>
        <w:t xml:space="preserve">поступило в письменной форме </w:t>
      </w:r>
      <w:r>
        <w:rPr>
          <w:sz w:val="28"/>
          <w:szCs w:val="28"/>
        </w:rPr>
        <w:t xml:space="preserve">55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(3</w:t>
      </w:r>
      <w:r>
        <w:rPr>
          <w:sz w:val="28"/>
          <w:szCs w:val="28"/>
        </w:rPr>
        <w:t xml:space="preserve">8</w:t>
      </w:r>
      <w:r>
        <w:rPr>
          <w:sz w:val="28"/>
          <w:szCs w:val="28"/>
        </w:rPr>
        <w:t xml:space="preserve">%) и в форме электронного докумен</w:t>
      </w:r>
      <w:r>
        <w:rPr>
          <w:sz w:val="28"/>
          <w:szCs w:val="28"/>
        </w:rPr>
        <w:t xml:space="preserve">та 89</w:t>
      </w:r>
      <w:r>
        <w:rPr>
          <w:sz w:val="28"/>
          <w:szCs w:val="28"/>
        </w:rPr>
        <w:t xml:space="preserve"> обращений (6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 %).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обращения в Управлении рассматриваются в установленном порядке и по ним принимаются соответствующие меры: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>
        <w:rPr>
          <w:rFonts w:ascii="Times New Roman" w:hAnsi="Times New Roman" w:cs="Times New Roman"/>
          <w:sz w:val="28"/>
          <w:szCs w:val="28"/>
        </w:rPr>
        <w:t xml:space="preserve">ям</w:t>
      </w:r>
      <w:r>
        <w:rPr>
          <w:rFonts w:ascii="Times New Roman" w:hAnsi="Times New Roman" w:cs="Times New Roman"/>
          <w:sz w:val="28"/>
          <w:szCs w:val="28"/>
        </w:rPr>
        <w:t xml:space="preserve"> авторам даны необходимые разъяснения и рекомендации;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54 обращения</w:t>
      </w:r>
      <w:r>
        <w:rPr>
          <w:rFonts w:ascii="Times New Roman" w:hAnsi="Times New Roman" w:cs="Times New Roman"/>
          <w:sz w:val="28"/>
          <w:szCs w:val="28"/>
        </w:rPr>
        <w:t xml:space="preserve"> перенаправлены на рассмотрение в соответствующие органы, в компетенцию которых входит решение поставленных в обращении вопросов;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1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обращениям</w:t>
      </w:r>
      <w:r>
        <w:rPr>
          <w:rFonts w:ascii="Times New Roman" w:hAnsi="Times New Roman" w:cs="Times New Roman"/>
          <w:sz w:val="28"/>
          <w:szCs w:val="28"/>
        </w:rPr>
        <w:t xml:space="preserve"> срок исполнения ещ</w:t>
      </w:r>
      <w:r>
        <w:rPr>
          <w:rFonts w:ascii="Times New Roman" w:hAnsi="Times New Roman" w:cs="Times New Roman"/>
          <w:sz w:val="28"/>
          <w:szCs w:val="28"/>
        </w:rPr>
        <w:t xml:space="preserve">е не наступил (по состоянию на 0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.0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.2026).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Основные темы обращений: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поиск, уточнение, зачет и возврат излишне (ошибочно) уплаченных или излишне взысканных сумм налогов, сборов, пеней, штрафов (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,</w:t>
      </w:r>
      <w:r>
        <w:t xml:space="preserve"> </w:t>
      </w:r>
      <w:r>
        <w:rPr>
          <w:sz w:val="28"/>
          <w:szCs w:val="28"/>
        </w:rPr>
        <w:t xml:space="preserve">что составило 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 % </w:t>
      </w:r>
      <w:r>
        <w:rPr>
          <w:sz w:val="28"/>
          <w:szCs w:val="28"/>
        </w:rPr>
        <w:t xml:space="preserve">от общего количества поступивших обращений);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оказание услуг в электронном виде (22 обращения (15%);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исполнительное и судебное производство (20 обращений (14%);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возврат, зачет госпошлины (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0</w:t>
      </w:r>
      <w:r>
        <w:rPr>
          <w:b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о</w:t>
      </w:r>
      <w:r>
        <w:rPr>
          <w:sz w:val="28"/>
          <w:szCs w:val="28"/>
        </w:rPr>
        <w:t xml:space="preserve">бращений </w:t>
      </w:r>
      <w:r>
        <w:rPr>
          <w:sz w:val="28"/>
          <w:szCs w:val="28"/>
        </w:rPr>
        <w:t xml:space="preserve">(</w:t>
      </w:r>
      <w:r>
        <w:rPr>
          <w:sz w:val="28"/>
          <w:szCs w:val="28"/>
        </w:rPr>
        <w:t xml:space="preserve">7</w:t>
      </w:r>
      <w:r>
        <w:rPr>
          <w:sz w:val="28"/>
          <w:szCs w:val="28"/>
        </w:rPr>
        <w:t xml:space="preserve">%);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финансовые проверки организаций и учреждений (</w:t>
      </w:r>
      <w:r>
        <w:rPr>
          <w:sz w:val="28"/>
          <w:szCs w:val="28"/>
        </w:rPr>
        <w:t xml:space="preserve">9</w:t>
      </w:r>
      <w:r>
        <w:rPr>
          <w:sz w:val="28"/>
          <w:szCs w:val="28"/>
        </w:rPr>
        <w:t xml:space="preserve"> обращений (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%);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деятельность Федерального казначейства (8 обращений (6%);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получение и распространение информации (</w:t>
      </w:r>
      <w:r>
        <w:rPr>
          <w:sz w:val="28"/>
          <w:szCs w:val="28"/>
        </w:rPr>
        <w:t xml:space="preserve">6 о</w:t>
      </w:r>
      <w:r>
        <w:rPr>
          <w:sz w:val="28"/>
          <w:szCs w:val="28"/>
        </w:rPr>
        <w:t xml:space="preserve">бращени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%);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бывшим сотрудникам Управления справок: о средней заработной плате, о подтверждении стажа, информация по листам нетрудоспособности (</w:t>
      </w:r>
      <w:r>
        <w:rPr>
          <w:sz w:val="28"/>
          <w:szCs w:val="28"/>
        </w:rPr>
        <w:t xml:space="preserve">5</w:t>
      </w:r>
      <w:r>
        <w:rPr>
          <w:b w:val="0"/>
          <w:bCs w:val="0"/>
          <w:i w:val="0"/>
          <w:iCs w:val="0"/>
          <w:sz w:val="28"/>
          <w:szCs w:val="28"/>
        </w:rPr>
        <w:t xml:space="preserve"> о</w:t>
      </w:r>
      <w:r>
        <w:rPr>
          <w:sz w:val="28"/>
          <w:szCs w:val="28"/>
        </w:rPr>
        <w:t xml:space="preserve">бращений (</w:t>
      </w:r>
      <w:r>
        <w:rPr>
          <w:sz w:val="28"/>
          <w:szCs w:val="28"/>
        </w:rPr>
        <w:t xml:space="preserve">4</w:t>
      </w:r>
      <w:r>
        <w:rPr>
          <w:sz w:val="28"/>
          <w:szCs w:val="28"/>
        </w:rPr>
        <w:t xml:space="preserve">%);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  <w:t xml:space="preserve">банковские переводы (</w:t>
      </w:r>
      <w:r>
        <w:rPr>
          <w:sz w:val="28"/>
          <w:szCs w:val="28"/>
        </w:rPr>
        <w:t xml:space="preserve">1</w:t>
      </w:r>
      <w:r>
        <w:rPr>
          <w:b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о</w:t>
      </w:r>
      <w:r>
        <w:rPr>
          <w:sz w:val="28"/>
          <w:szCs w:val="28"/>
        </w:rPr>
        <w:t xml:space="preserve">бращени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 (1%).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8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нарушений сроков направления ответов на обращения не допущено.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2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Замечаний и жалоб в адрес Управления на качество работы с обращениями не поступало.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eastAsia="Calibri"/>
          <w:sz w:val="28"/>
        </w:rPr>
      </w:pPr>
      <w:r>
        <w:rPr>
          <w:sz w:val="28"/>
          <w:szCs w:val="28"/>
        </w:rPr>
        <w:t xml:space="preserve">Обращений в суды по жалобам граждан на действия (бездействие) должностных лиц Управления не зафиксировано.</w:t>
      </w:r>
      <w:r>
        <w:rPr>
          <w:rFonts w:eastAsia="Calibri"/>
          <w:sz w:val="28"/>
        </w:rPr>
        <w:t xml:space="preserve"> </w:t>
      </w:r>
      <w:r>
        <w:rPr>
          <w:rFonts w:eastAsia="Calibri"/>
          <w:sz w:val="28"/>
        </w:rPr>
      </w:r>
      <w:r>
        <w:rPr>
          <w:rFonts w:eastAsia="Calibri"/>
          <w:sz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Управлением осуществляются следующие мероприятия, направленные на сокращение количества обращений: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консультирование клиентов по поставленным вопросам;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оказание помощи в формировании запроса в службы технической поддержки ЕИС, ГИИС ЭБ по решению технических проблем;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внеплановых контрольных мероприятий в случаях поступления обращений по вопросам, отнесенным к сфере деятельности Федерального казначейства;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в единой информационной системе в сфере закупок информации о результатах контрольных мероприятий, проводимых в рамках полномочий.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размещение на официальном сайте Управления разъясняющей информации.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официальном сайте Управления в сети Интернет размещена и регулярно обновляется информация: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актуальных нормативно-правовых актах Российской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полномочиях Управления;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ходе исполнения документов, об открытых лицевых счетах получателей бюджетных средств в органах Федерального казначейства, о перечне документов, подлежащих направлению в орг</w:t>
      </w:r>
      <w:r>
        <w:rPr>
          <w:sz w:val="28"/>
          <w:szCs w:val="28"/>
        </w:rPr>
        <w:t xml:space="preserve">ан Федерального казначейства для исполнения</w:t>
      </w:r>
      <w:r>
        <w:rPr>
          <w:sz w:val="28"/>
          <w:szCs w:val="28"/>
        </w:rPr>
        <w:t xml:space="preserve">, а также ответы на часто задаваемые вопросы (раздел «Электронная приемная», подраздел «Взыскание на средства бюджетов бюджетной системы РФ, на средства участников казначейского сопровождения, на средства бюджетных учреждений»);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рассмотрении обращений граждан (раздел «Электронная приемная», подраздел «Прием обращений» / «Обращения граждан и организаций»);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порядке возврата денежных средств плательщикам (указаны разъяснения, размещены образцы заявлений (раздел «Документы», подраздел «Учет и распределение поступлений»</w:t>
      </w:r>
      <w:bookmarkStart w:id="0" w:name="_GoBack"/>
      <w:r/>
      <w:bookmarkEnd w:id="0"/>
      <w:r>
        <w:rPr>
          <w:sz w:val="28"/>
          <w:szCs w:val="28"/>
        </w:rPr>
        <w:t xml:space="preserve">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контактные данные сотрудников отдела доходов, к которым можно обратиться за консультацией (раздел «Документы», подраздел «Учет и распределение поступлений»);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перечень администраторов доходов бюджетов,</w:t>
      </w:r>
      <w:r>
        <w:rPr>
          <w:sz w:val="28"/>
          <w:szCs w:val="28"/>
        </w:rPr>
        <w:t xml:space="preserve"> где содержатся данные - ИНН, КПП, наименование, юридический адрес администраторов доходов бюджетов, цифровое значение и наименование администрируемых кодов бюджетной классификации доходов (раздел «Документы»).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957519315"/>
      <w:docPartObj>
        <w:docPartGallery w:val="Page Numbers (Top of Page)"/>
        <w:docPartUnique w:val="true"/>
      </w:docPartObj>
      <w:rPr/>
    </w:sdtPr>
    <w:sdtContent>
      <w:p>
        <w:pPr>
          <w:pStyle w:val="87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  <w:p>
    <w:pPr>
      <w:pStyle w:val="87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708"/>
    <w:link w:val="699"/>
    <w:uiPriority w:val="9"/>
    <w:rPr>
      <w:rFonts w:ascii="Arial" w:hAnsi="Arial" w:eastAsia="Arial" w:cs="Arial"/>
      <w:sz w:val="40"/>
      <w:szCs w:val="40"/>
    </w:rPr>
  </w:style>
  <w:style w:type="character" w:styleId="683">
    <w:name w:val="Heading 2 Char"/>
    <w:basedOn w:val="708"/>
    <w:link w:val="700"/>
    <w:uiPriority w:val="9"/>
    <w:rPr>
      <w:rFonts w:ascii="Arial" w:hAnsi="Arial" w:eastAsia="Arial" w:cs="Arial"/>
      <w:sz w:val="34"/>
    </w:rPr>
  </w:style>
  <w:style w:type="character" w:styleId="684">
    <w:name w:val="Heading 3 Char"/>
    <w:basedOn w:val="708"/>
    <w:link w:val="701"/>
    <w:uiPriority w:val="9"/>
    <w:rPr>
      <w:rFonts w:ascii="Arial" w:hAnsi="Arial" w:eastAsia="Arial" w:cs="Arial"/>
      <w:sz w:val="30"/>
      <w:szCs w:val="30"/>
    </w:rPr>
  </w:style>
  <w:style w:type="character" w:styleId="685">
    <w:name w:val="Heading 4 Char"/>
    <w:basedOn w:val="708"/>
    <w:link w:val="702"/>
    <w:uiPriority w:val="9"/>
    <w:rPr>
      <w:rFonts w:ascii="Arial" w:hAnsi="Arial" w:eastAsia="Arial" w:cs="Arial"/>
      <w:b/>
      <w:bCs/>
      <w:sz w:val="26"/>
      <w:szCs w:val="26"/>
    </w:rPr>
  </w:style>
  <w:style w:type="character" w:styleId="686">
    <w:name w:val="Heading 5 Char"/>
    <w:basedOn w:val="708"/>
    <w:link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687">
    <w:name w:val="Heading 6 Char"/>
    <w:basedOn w:val="708"/>
    <w:link w:val="704"/>
    <w:uiPriority w:val="9"/>
    <w:rPr>
      <w:rFonts w:ascii="Arial" w:hAnsi="Arial" w:eastAsia="Arial" w:cs="Arial"/>
      <w:b/>
      <w:bCs/>
      <w:sz w:val="22"/>
      <w:szCs w:val="22"/>
    </w:rPr>
  </w:style>
  <w:style w:type="character" w:styleId="688">
    <w:name w:val="Heading 7 Char"/>
    <w:basedOn w:val="708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8 Char"/>
    <w:basedOn w:val="708"/>
    <w:link w:val="706"/>
    <w:uiPriority w:val="9"/>
    <w:rPr>
      <w:rFonts w:ascii="Arial" w:hAnsi="Arial" w:eastAsia="Arial" w:cs="Arial"/>
      <w:i/>
      <w:iCs/>
      <w:sz w:val="22"/>
      <w:szCs w:val="22"/>
    </w:rPr>
  </w:style>
  <w:style w:type="character" w:styleId="690">
    <w:name w:val="Heading 9 Char"/>
    <w:basedOn w:val="708"/>
    <w:link w:val="707"/>
    <w:uiPriority w:val="9"/>
    <w:rPr>
      <w:rFonts w:ascii="Arial" w:hAnsi="Arial" w:eastAsia="Arial" w:cs="Arial"/>
      <w:i/>
      <w:iCs/>
      <w:sz w:val="21"/>
      <w:szCs w:val="21"/>
    </w:rPr>
  </w:style>
  <w:style w:type="character" w:styleId="691">
    <w:name w:val="Title Char"/>
    <w:basedOn w:val="708"/>
    <w:link w:val="720"/>
    <w:uiPriority w:val="10"/>
    <w:rPr>
      <w:sz w:val="48"/>
      <w:szCs w:val="48"/>
    </w:rPr>
  </w:style>
  <w:style w:type="character" w:styleId="692">
    <w:name w:val="Subtitle Char"/>
    <w:basedOn w:val="708"/>
    <w:link w:val="722"/>
    <w:uiPriority w:val="11"/>
    <w:rPr>
      <w:sz w:val="24"/>
      <w:szCs w:val="24"/>
    </w:rPr>
  </w:style>
  <w:style w:type="character" w:styleId="693">
    <w:name w:val="Quote Char"/>
    <w:link w:val="724"/>
    <w:uiPriority w:val="29"/>
    <w:rPr>
      <w:i/>
    </w:rPr>
  </w:style>
  <w:style w:type="character" w:styleId="694">
    <w:name w:val="Intense Quote Char"/>
    <w:link w:val="726"/>
    <w:uiPriority w:val="30"/>
    <w:rPr>
      <w:i/>
    </w:rPr>
  </w:style>
  <w:style w:type="character" w:styleId="695">
    <w:name w:val="Caption Char"/>
    <w:basedOn w:val="708"/>
    <w:link w:val="730"/>
    <w:uiPriority w:val="35"/>
    <w:rPr>
      <w:b/>
      <w:bCs/>
      <w:color w:val="4f81bd" w:themeColor="accent1"/>
      <w:sz w:val="18"/>
      <w:szCs w:val="18"/>
    </w:rPr>
  </w:style>
  <w:style w:type="character" w:styleId="696">
    <w:name w:val="Footnote Text Char"/>
    <w:link w:val="857"/>
    <w:uiPriority w:val="99"/>
    <w:rPr>
      <w:sz w:val="18"/>
    </w:rPr>
  </w:style>
  <w:style w:type="character" w:styleId="697">
    <w:name w:val="Endnote Text Char"/>
    <w:link w:val="860"/>
    <w:uiPriority w:val="99"/>
    <w:rPr>
      <w:sz w:val="20"/>
    </w:rPr>
  </w:style>
  <w:style w:type="paragraph" w:styleId="69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99">
    <w:name w:val="Heading 1"/>
    <w:basedOn w:val="698"/>
    <w:next w:val="698"/>
    <w:link w:val="71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0">
    <w:name w:val="Heading 2"/>
    <w:basedOn w:val="698"/>
    <w:next w:val="698"/>
    <w:link w:val="71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1">
    <w:name w:val="Heading 3"/>
    <w:basedOn w:val="698"/>
    <w:next w:val="698"/>
    <w:link w:val="71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2">
    <w:name w:val="Heading 4"/>
    <w:basedOn w:val="698"/>
    <w:next w:val="698"/>
    <w:link w:val="71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3">
    <w:name w:val="Heading 5"/>
    <w:basedOn w:val="698"/>
    <w:next w:val="698"/>
    <w:link w:val="71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04">
    <w:name w:val="Heading 6"/>
    <w:basedOn w:val="698"/>
    <w:next w:val="698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5">
    <w:name w:val="Heading 7"/>
    <w:basedOn w:val="698"/>
    <w:next w:val="698"/>
    <w:link w:val="71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698"/>
    <w:next w:val="698"/>
    <w:link w:val="71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7">
    <w:name w:val="Heading 9"/>
    <w:basedOn w:val="698"/>
    <w:next w:val="698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 w:default="1">
    <w:name w:val="Default Paragraph Font"/>
    <w:uiPriority w:val="1"/>
    <w:semiHidden/>
    <w:unhideWhenUsed/>
  </w:style>
  <w:style w:type="table" w:styleId="70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0" w:default="1">
    <w:name w:val="No List"/>
    <w:uiPriority w:val="99"/>
    <w:semiHidden/>
    <w:unhideWhenUsed/>
  </w:style>
  <w:style w:type="character" w:styleId="711" w:customStyle="1">
    <w:name w:val="Заголовок 1 Знак"/>
    <w:basedOn w:val="708"/>
    <w:link w:val="699"/>
    <w:uiPriority w:val="9"/>
    <w:rPr>
      <w:rFonts w:ascii="Arial" w:hAnsi="Arial" w:eastAsia="Arial" w:cs="Arial"/>
      <w:sz w:val="40"/>
      <w:szCs w:val="40"/>
    </w:rPr>
  </w:style>
  <w:style w:type="character" w:styleId="712" w:customStyle="1">
    <w:name w:val="Заголовок 2 Знак"/>
    <w:basedOn w:val="708"/>
    <w:link w:val="700"/>
    <w:uiPriority w:val="9"/>
    <w:rPr>
      <w:rFonts w:ascii="Arial" w:hAnsi="Arial" w:eastAsia="Arial" w:cs="Arial"/>
      <w:sz w:val="34"/>
    </w:rPr>
  </w:style>
  <w:style w:type="character" w:styleId="713" w:customStyle="1">
    <w:name w:val="Заголовок 3 Знак"/>
    <w:basedOn w:val="708"/>
    <w:link w:val="701"/>
    <w:uiPriority w:val="9"/>
    <w:rPr>
      <w:rFonts w:ascii="Arial" w:hAnsi="Arial" w:eastAsia="Arial" w:cs="Arial"/>
      <w:sz w:val="30"/>
      <w:szCs w:val="30"/>
    </w:rPr>
  </w:style>
  <w:style w:type="character" w:styleId="714" w:customStyle="1">
    <w:name w:val="Заголовок 4 Знак"/>
    <w:basedOn w:val="708"/>
    <w:link w:val="702"/>
    <w:uiPriority w:val="9"/>
    <w:rPr>
      <w:rFonts w:ascii="Arial" w:hAnsi="Arial" w:eastAsia="Arial" w:cs="Arial"/>
      <w:b/>
      <w:bCs/>
      <w:sz w:val="26"/>
      <w:szCs w:val="26"/>
    </w:rPr>
  </w:style>
  <w:style w:type="character" w:styleId="715" w:customStyle="1">
    <w:name w:val="Заголовок 5 Знак"/>
    <w:basedOn w:val="708"/>
    <w:link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6" w:customStyle="1">
    <w:name w:val="Заголовок 6 Знак"/>
    <w:basedOn w:val="708"/>
    <w:link w:val="704"/>
    <w:uiPriority w:val="9"/>
    <w:rPr>
      <w:rFonts w:ascii="Arial" w:hAnsi="Arial" w:eastAsia="Arial" w:cs="Arial"/>
      <w:b/>
      <w:bCs/>
      <w:sz w:val="22"/>
      <w:szCs w:val="22"/>
    </w:rPr>
  </w:style>
  <w:style w:type="character" w:styleId="717" w:customStyle="1">
    <w:name w:val="Заголовок 7 Знак"/>
    <w:basedOn w:val="708"/>
    <w:link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8" w:customStyle="1">
    <w:name w:val="Заголовок 8 Знак"/>
    <w:basedOn w:val="708"/>
    <w:link w:val="706"/>
    <w:uiPriority w:val="9"/>
    <w:rPr>
      <w:rFonts w:ascii="Arial" w:hAnsi="Arial" w:eastAsia="Arial" w:cs="Arial"/>
      <w:i/>
      <w:iCs/>
      <w:sz w:val="22"/>
      <w:szCs w:val="22"/>
    </w:rPr>
  </w:style>
  <w:style w:type="character" w:styleId="719" w:customStyle="1">
    <w:name w:val="Заголовок 9 Знак"/>
    <w:basedOn w:val="708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Title"/>
    <w:basedOn w:val="698"/>
    <w:next w:val="698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 w:customStyle="1">
    <w:name w:val="Заголовок Знак"/>
    <w:basedOn w:val="708"/>
    <w:link w:val="720"/>
    <w:uiPriority w:val="10"/>
    <w:rPr>
      <w:sz w:val="48"/>
      <w:szCs w:val="48"/>
    </w:rPr>
  </w:style>
  <w:style w:type="paragraph" w:styleId="722">
    <w:name w:val="Subtitle"/>
    <w:basedOn w:val="698"/>
    <w:next w:val="698"/>
    <w:link w:val="723"/>
    <w:uiPriority w:val="11"/>
    <w:qFormat/>
    <w:pPr>
      <w:spacing w:before="200" w:after="200"/>
    </w:pPr>
  </w:style>
  <w:style w:type="character" w:styleId="723" w:customStyle="1">
    <w:name w:val="Подзаголовок Знак"/>
    <w:basedOn w:val="708"/>
    <w:link w:val="722"/>
    <w:uiPriority w:val="11"/>
    <w:rPr>
      <w:sz w:val="24"/>
      <w:szCs w:val="24"/>
    </w:rPr>
  </w:style>
  <w:style w:type="paragraph" w:styleId="724">
    <w:name w:val="Quote"/>
    <w:basedOn w:val="698"/>
    <w:next w:val="698"/>
    <w:link w:val="725"/>
    <w:uiPriority w:val="29"/>
    <w:qFormat/>
    <w:pPr>
      <w:ind w:left="720" w:right="720"/>
    </w:pPr>
    <w:rPr>
      <w:i/>
    </w:rPr>
  </w:style>
  <w:style w:type="character" w:styleId="725" w:customStyle="1">
    <w:name w:val="Цитата 2 Знак"/>
    <w:link w:val="724"/>
    <w:uiPriority w:val="29"/>
    <w:rPr>
      <w:i/>
    </w:rPr>
  </w:style>
  <w:style w:type="paragraph" w:styleId="726">
    <w:name w:val="Intense Quote"/>
    <w:basedOn w:val="698"/>
    <w:next w:val="698"/>
    <w:link w:val="72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 w:customStyle="1">
    <w:name w:val="Выделенная цитата Знак"/>
    <w:link w:val="726"/>
    <w:uiPriority w:val="30"/>
    <w:rPr>
      <w:i/>
    </w:rPr>
  </w:style>
  <w:style w:type="character" w:styleId="728" w:customStyle="1">
    <w:name w:val="Header Char"/>
    <w:basedOn w:val="708"/>
    <w:uiPriority w:val="99"/>
  </w:style>
  <w:style w:type="character" w:styleId="729" w:customStyle="1">
    <w:name w:val="Footer Char"/>
    <w:basedOn w:val="708"/>
    <w:uiPriority w:val="99"/>
  </w:style>
  <w:style w:type="paragraph" w:styleId="730">
    <w:name w:val="Caption"/>
    <w:basedOn w:val="698"/>
    <w:next w:val="698"/>
    <w:link w:val="731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31" w:customStyle="1">
    <w:name w:val="Название объекта Знак"/>
    <w:basedOn w:val="708"/>
    <w:link w:val="730"/>
    <w:uiPriority w:val="35"/>
    <w:rPr>
      <w:b/>
      <w:bCs/>
      <w:color w:val="5b9bd5" w:themeColor="accent1"/>
      <w:sz w:val="18"/>
      <w:szCs w:val="18"/>
    </w:rPr>
  </w:style>
  <w:style w:type="table" w:styleId="732" w:customStyle="1">
    <w:name w:val="Table Grid Light"/>
    <w:basedOn w:val="70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3">
    <w:name w:val="Plain Table 1"/>
    <w:basedOn w:val="70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70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70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70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70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 w:customStyle="1">
    <w:name w:val="Grid Table 1 Light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 w:customStyle="1">
    <w:name w:val="Grid Table 1 Light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2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2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3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3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70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 w:customStyle="1">
    <w:name w:val="Grid Table 4 - Accent 1"/>
    <w:basedOn w:val="70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1" w:customStyle="1">
    <w:name w:val="Grid Table 4 - Accent 2"/>
    <w:basedOn w:val="70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2" w:customStyle="1">
    <w:name w:val="Grid Table 4 - Accent 3"/>
    <w:basedOn w:val="70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3" w:customStyle="1">
    <w:name w:val="Grid Table 4 - Accent 4"/>
    <w:basedOn w:val="70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4" w:customStyle="1">
    <w:name w:val="Grid Table 4 - Accent 5"/>
    <w:basedOn w:val="70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65" w:customStyle="1">
    <w:name w:val="Grid Table 4 - Accent 6"/>
    <w:basedOn w:val="70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6">
    <w:name w:val="Grid Table 5 Dark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0" w:customStyle="1">
    <w:name w:val="Grid Table 5 Dark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1" w:customStyle="1">
    <w:name w:val="Grid Table 5 Dark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3">
    <w:name w:val="Grid Table 6 Colorful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4" w:customStyle="1">
    <w:name w:val="Grid Table 6 Colorful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75" w:customStyle="1">
    <w:name w:val="Grid Table 6 Colorful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6" w:customStyle="1">
    <w:name w:val="Grid Table 6 Colorful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7" w:customStyle="1">
    <w:name w:val="Grid Table 6 Colorful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8" w:customStyle="1">
    <w:name w:val="Grid Table 6 Colorful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9" w:customStyle="1">
    <w:name w:val="Grid Table 6 Colorful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0">
    <w:name w:val="Grid Table 7 Colorful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Grid Table 7 Colorful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2" w:customStyle="1">
    <w:name w:val="Grid Table 7 Colorful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3" w:customStyle="1">
    <w:name w:val="Grid Table 7 Colorful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4" w:customStyle="1">
    <w:name w:val="Grid Table 7 Colorful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5" w:customStyle="1">
    <w:name w:val="Grid Table 7 Colorful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6" w:customStyle="1">
    <w:name w:val="Grid Table 7 Colorful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7">
    <w:name w:val="List Table 1 Light"/>
    <w:basedOn w:val="70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1"/>
    <w:basedOn w:val="70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2"/>
    <w:basedOn w:val="70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3"/>
    <w:basedOn w:val="70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1 Light - Accent 4"/>
    <w:basedOn w:val="70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1 Light - Accent 5"/>
    <w:basedOn w:val="70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6"/>
    <w:basedOn w:val="70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8" w:customStyle="1">
    <w:name w:val="List Table 2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9" w:customStyle="1">
    <w:name w:val="List Table 2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3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3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4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4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 w:customStyle="1">
    <w:name w:val="List Table 5 Dark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0" w:customStyle="1">
    <w:name w:val="List Table 5 Dark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>
    <w:name w:val="List Table 6 Colorful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3" w:customStyle="1">
    <w:name w:val="List Table 6 Colorful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4" w:customStyle="1">
    <w:name w:val="List Table 6 Colorful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5" w:customStyle="1">
    <w:name w:val="List Table 6 Colorful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6" w:customStyle="1">
    <w:name w:val="List Table 6 Colorful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7" w:customStyle="1">
    <w:name w:val="List Table 6 Colorful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8" w:customStyle="1">
    <w:name w:val="List Table 6 Colorful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9">
    <w:name w:val="List Table 7 Colorful"/>
    <w:basedOn w:val="70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st Table 7 Colorful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1" w:customStyle="1">
    <w:name w:val="List Table 7 Colorful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2" w:customStyle="1">
    <w:name w:val="List Table 7 Colorful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3" w:customStyle="1">
    <w:name w:val="List Table 7 Colorful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4" w:customStyle="1">
    <w:name w:val="List Table 7 Colorful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5" w:customStyle="1">
    <w:name w:val="List Table 7 Colorful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6" w:customStyle="1">
    <w:name w:val="Lined - Accent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Lined - Accent 1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8" w:customStyle="1">
    <w:name w:val="Lined - Accent 2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9" w:customStyle="1">
    <w:name w:val="Lined - Accent 3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0" w:customStyle="1">
    <w:name w:val="Lined - Accent 4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1" w:customStyle="1">
    <w:name w:val="Lined - Accent 5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2" w:customStyle="1">
    <w:name w:val="Lined - Accent 6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3" w:customStyle="1">
    <w:name w:val="Bordered &amp; Lined - Accent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4" w:customStyle="1">
    <w:name w:val="Bordered &amp; Lined - Accent 1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5" w:customStyle="1">
    <w:name w:val="Bordered &amp; Lined - Accent 2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6" w:customStyle="1">
    <w:name w:val="Bordered &amp; Lined - Accent 3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7" w:customStyle="1">
    <w:name w:val="Bordered &amp; Lined - Accent 4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8" w:customStyle="1">
    <w:name w:val="Bordered &amp; Lined - Accent 5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9" w:customStyle="1">
    <w:name w:val="Bordered &amp; Lined - Accent 6"/>
    <w:basedOn w:val="709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0" w:customStyle="1">
    <w:name w:val="Bordered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1" w:customStyle="1">
    <w:name w:val="Bordered - Accent 1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2" w:customStyle="1">
    <w:name w:val="Bordered - Accent 2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3" w:customStyle="1">
    <w:name w:val="Bordered - Accent 3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4" w:customStyle="1">
    <w:name w:val="Bordered - Accent 4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5" w:customStyle="1">
    <w:name w:val="Bordered - Accent 5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6" w:customStyle="1">
    <w:name w:val="Bordered - Accent 6"/>
    <w:basedOn w:val="70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57">
    <w:name w:val="footnote text"/>
    <w:basedOn w:val="698"/>
    <w:link w:val="858"/>
    <w:uiPriority w:val="99"/>
    <w:semiHidden/>
    <w:unhideWhenUsed/>
    <w:pPr>
      <w:spacing w:after="40"/>
    </w:pPr>
    <w:rPr>
      <w:sz w:val="18"/>
    </w:rPr>
  </w:style>
  <w:style w:type="character" w:styleId="858" w:customStyle="1">
    <w:name w:val="Текст сноски Знак"/>
    <w:link w:val="857"/>
    <w:uiPriority w:val="99"/>
    <w:rPr>
      <w:sz w:val="18"/>
    </w:rPr>
  </w:style>
  <w:style w:type="character" w:styleId="859">
    <w:name w:val="footnote reference"/>
    <w:basedOn w:val="708"/>
    <w:uiPriority w:val="99"/>
    <w:unhideWhenUsed/>
    <w:rPr>
      <w:vertAlign w:val="superscript"/>
    </w:rPr>
  </w:style>
  <w:style w:type="paragraph" w:styleId="860">
    <w:name w:val="endnote text"/>
    <w:basedOn w:val="698"/>
    <w:link w:val="861"/>
    <w:uiPriority w:val="99"/>
    <w:semiHidden/>
    <w:unhideWhenUsed/>
    <w:rPr>
      <w:sz w:val="20"/>
    </w:rPr>
  </w:style>
  <w:style w:type="character" w:styleId="861" w:customStyle="1">
    <w:name w:val="Текст концевой сноски Знак"/>
    <w:link w:val="860"/>
    <w:uiPriority w:val="99"/>
    <w:rPr>
      <w:sz w:val="20"/>
    </w:rPr>
  </w:style>
  <w:style w:type="character" w:styleId="862">
    <w:name w:val="endnote reference"/>
    <w:basedOn w:val="708"/>
    <w:uiPriority w:val="99"/>
    <w:semiHidden/>
    <w:unhideWhenUsed/>
    <w:rPr>
      <w:vertAlign w:val="superscript"/>
    </w:rPr>
  </w:style>
  <w:style w:type="paragraph" w:styleId="863">
    <w:name w:val="toc 1"/>
    <w:basedOn w:val="698"/>
    <w:next w:val="698"/>
    <w:uiPriority w:val="39"/>
    <w:unhideWhenUsed/>
    <w:pPr>
      <w:spacing w:after="57"/>
    </w:pPr>
  </w:style>
  <w:style w:type="paragraph" w:styleId="864">
    <w:name w:val="toc 2"/>
    <w:basedOn w:val="698"/>
    <w:next w:val="698"/>
    <w:uiPriority w:val="39"/>
    <w:unhideWhenUsed/>
    <w:pPr>
      <w:ind w:left="283"/>
      <w:spacing w:after="57"/>
    </w:pPr>
  </w:style>
  <w:style w:type="paragraph" w:styleId="865">
    <w:name w:val="toc 3"/>
    <w:basedOn w:val="698"/>
    <w:next w:val="698"/>
    <w:uiPriority w:val="39"/>
    <w:unhideWhenUsed/>
    <w:pPr>
      <w:ind w:left="567"/>
      <w:spacing w:after="57"/>
    </w:pPr>
  </w:style>
  <w:style w:type="paragraph" w:styleId="866">
    <w:name w:val="toc 4"/>
    <w:basedOn w:val="698"/>
    <w:next w:val="698"/>
    <w:uiPriority w:val="39"/>
    <w:unhideWhenUsed/>
    <w:pPr>
      <w:ind w:left="850"/>
      <w:spacing w:after="57"/>
    </w:pPr>
  </w:style>
  <w:style w:type="paragraph" w:styleId="867">
    <w:name w:val="toc 5"/>
    <w:basedOn w:val="698"/>
    <w:next w:val="698"/>
    <w:uiPriority w:val="39"/>
    <w:unhideWhenUsed/>
    <w:pPr>
      <w:ind w:left="1134"/>
      <w:spacing w:after="57"/>
    </w:pPr>
  </w:style>
  <w:style w:type="paragraph" w:styleId="868">
    <w:name w:val="toc 6"/>
    <w:basedOn w:val="698"/>
    <w:next w:val="698"/>
    <w:uiPriority w:val="39"/>
    <w:unhideWhenUsed/>
    <w:pPr>
      <w:ind w:left="1417"/>
      <w:spacing w:after="57"/>
    </w:pPr>
  </w:style>
  <w:style w:type="paragraph" w:styleId="869">
    <w:name w:val="toc 7"/>
    <w:basedOn w:val="698"/>
    <w:next w:val="698"/>
    <w:uiPriority w:val="39"/>
    <w:unhideWhenUsed/>
    <w:pPr>
      <w:ind w:left="1701"/>
      <w:spacing w:after="57"/>
    </w:pPr>
  </w:style>
  <w:style w:type="paragraph" w:styleId="870">
    <w:name w:val="toc 8"/>
    <w:basedOn w:val="698"/>
    <w:next w:val="698"/>
    <w:uiPriority w:val="39"/>
    <w:unhideWhenUsed/>
    <w:pPr>
      <w:ind w:left="1984"/>
      <w:spacing w:after="57"/>
    </w:pPr>
  </w:style>
  <w:style w:type="paragraph" w:styleId="871">
    <w:name w:val="toc 9"/>
    <w:basedOn w:val="698"/>
    <w:next w:val="698"/>
    <w:uiPriority w:val="39"/>
    <w:unhideWhenUsed/>
    <w:pPr>
      <w:ind w:left="2268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698"/>
    <w:next w:val="698"/>
    <w:uiPriority w:val="99"/>
    <w:unhideWhenUsed/>
  </w:style>
  <w:style w:type="paragraph" w:styleId="874">
    <w:name w:val="List Paragraph"/>
    <w:basedOn w:val="698"/>
    <w:uiPriority w:val="34"/>
    <w:qFormat/>
    <w:pPr>
      <w:contextualSpacing/>
      <w:ind w:left="720"/>
    </w:pPr>
  </w:style>
  <w:style w:type="paragraph" w:styleId="875">
    <w:name w:val="Balloon Text"/>
    <w:basedOn w:val="698"/>
    <w:link w:val="876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76" w:customStyle="1">
    <w:name w:val="Текст выноски Знак"/>
    <w:basedOn w:val="708"/>
    <w:link w:val="875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877">
    <w:name w:val="Header"/>
    <w:basedOn w:val="698"/>
    <w:link w:val="87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8" w:customStyle="1">
    <w:name w:val="Верхний колонтитул Знак"/>
    <w:basedOn w:val="708"/>
    <w:link w:val="87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9">
    <w:name w:val="Footer"/>
    <w:basedOn w:val="698"/>
    <w:link w:val="88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80" w:customStyle="1">
    <w:name w:val="Нижний колонтитул Знак"/>
    <w:basedOn w:val="708"/>
    <w:link w:val="87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881">
    <w:name w:val="Table Grid"/>
    <w:basedOn w:val="70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2">
    <w:name w:val="No Spacing"/>
    <w:uiPriority w:val="1"/>
    <w:qFormat/>
    <w:pPr>
      <w:spacing w:after="0" w:line="240" w:lineRule="auto"/>
    </w:pPr>
  </w:style>
  <w:style w:type="character" w:styleId="883">
    <w:name w:val="Hyperlink"/>
    <w:basedOn w:val="708"/>
    <w:uiPriority w:val="99"/>
    <w:unhideWhenUsed/>
    <w:rPr>
      <w:color w:val="0563c1" w:themeColor="hyperlink"/>
      <w:u w:val="single"/>
    </w:rPr>
  </w:style>
  <w:style w:type="paragraph" w:styleId="884">
    <w:name w:val="Normal (Web)"/>
    <w:basedOn w:val="698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8CC4A-5C8F-44DE-B5EB-47C39F3EA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UFK6200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Зиятдинова Альбина Булатовна</dc:creator>
  <cp:keywords/>
  <dc:description/>
  <cp:lastModifiedBy>Осломщикова Елена Леонидовна</cp:lastModifiedBy>
  <cp:revision>131</cp:revision>
  <dcterms:created xsi:type="dcterms:W3CDTF">2024-04-18T06:00:00Z</dcterms:created>
  <dcterms:modified xsi:type="dcterms:W3CDTF">2026-04-07T11:26:05Z</dcterms:modified>
</cp:coreProperties>
</file>